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135</w:t>
      </w:r>
    </w:p>
    <w:p>
      <w:r>
        <w:t>Bundesgericht (BGE), 1973-07-02, DE</w:t>
      </w:r>
    </w:p>
    <w:p>
      <w:r>
        <w:rPr>
          <w:b/>
        </w:rPr>
        <w:t xml:space="preserve">Quelle: </w:t>
      </w:r>
      <w:r>
        <w:t>https://mcp.opencaselaw.ch/entscheid/bge_99 IV 135</w:t>
      </w:r>
    </w:p>
    <w:p>
      <w:r>
        <w:t>FR: ATF 99 IV 135</w:t>
      </w:r>
    </w:p>
    <w:p>
      <w:r>
        <w:t>IT: DTF 99 IV 135</w:t>
      </w:r>
    </w:p>
    <w:p>
      <w:pPr>
        <w:pStyle w:val="Heading2"/>
      </w:pPr>
      <w:r>
        <w:t>Regeste</w:t>
      </w:r>
    </w:p>
    <w:p>
      <w:r>
        <w:t>Regeste Art. 91 und 93 Abs. 2 StGB. 1. Ablehnung der vom Gutachter vorgeschlagenen Familienerziehung gegenüber einem Jugendlichen, der in der Erziehungsanstalt nicht gebessert werden konnte. 2. Versetzung in die Strafanstalt unter Vorbehalt der Inkraftsetzung der Art. 93bis und 93ter StGB. Begriff der Unverbesserlichkeit.</w:t>
      </w:r>
    </w:p>
    <w:p>
      <w:pPr>
        <w:pStyle w:val="Heading2"/>
      </w:pPr>
      <w:r>
        <w:t>Erwägungen</w:t>
      </w:r>
    </w:p>
    <w:p>
      <w:r>
        <w:rPr>
          <w:b/>
        </w:rPr>
        <w:t>E. 1</w:t>
      </w:r>
    </w:p>
    <w:p>
      <w:r>
        <w:t>Im Rahmen der in Art. 91 StGB umschriebenen Voraussetzungen ist es weitgehend Ermessenssache des Sachrichters, ob der erziehungsbedürftige Jugendliche in eine Erziehungsanstalt eingewiesen oder ob er der eigenen oder einer vertrauenswürdigen andern Familie zur Erziehung übergeben wird. Der Kassationshof greift nur ein, wenn der Sachrichter sich bei der Wahl der Erziehungsmassnahme von rechtlich unzulässigen Kriterien leiten lässt oder wenn er das ihm zustehende Ermessen überschreitet ( BGE 88 IV 98 , BGE 96 IV 13 Erw. 3). Das trifft im vorliegenden Fall nicht zu. Wie aus dem Urteil des Obergerichtes vom 14. Juli 1972 und aus dem in der Beschwerde angerufenen Gutachten hervorgeht, hat sich der Beschwerdeführer nach seiner versuchsweisen Entlassung aus der Erziehungsanstalt auf verschiedenen Lehrstellen nicht halten können, ist oft der Arbeit ferngeblieben und hat auch Stellen, wo sich der Arbeitgeber seiner mit Verständnis annahm, ohne Grund nach kurzer Zeit wieder verlassen. Selbst in der gewöhnlichen Jugenderziehungsanstalt konnte er sich nicht einfügen und bereitete erhebliche Schwierigkeiten. Der Gutachter selber schlägt die Familienerziehung nicht deshalb vor, weil er vom Erfolg dieser Massnahme überzeugt ist. Er will es mit einer Erziehung ausserhalb der Anstalt lediglich nochmals versuchen, ohne dass er für den Erfolg dieser Massnahme ernsthafte und überzeugende Gründe anführen kann. Die naheliegende Möglichkeit, X. werde sich infolge seines Charakters und der fortgeschrittenen Verwahrlosung in der Freiheit nicht bewähren, hat auch der Gutachter in Betracht gezogen, weshalb er für diesen Fall die Anwendung des Erwachsenenstrafrechts oder BGE 99 IV 135 S. 138 die Einweisung in eine Arbeitserziehungsanstalt oder Anstalt für Nacherziehung als unvermeidlich hält. Wird ferner berücksichtigt, dass der impulsive und verwahrloste Beschwerdeführer nicht einmal in der Jugenderziehungsanstalt zur Selbstdisziplin angehalten werden konnte, so hat die Vorinstanz ihr Ermessen nicht überschritten, wenn sie fand, die Familienerziehung sei für den Beschwerdeführer nicht die geeignete Massnahme.</w:t>
      </w:r>
    </w:p>
    <w:p>
      <w:r>
        <w:rPr>
          <w:b/>
        </w:rPr>
        <w:t>E. 2</w:t>
      </w:r>
    </w:p>
    <w:p>
      <w:r>
        <w:t>Gemäss Art. 93 Abs. 2 StGB kann ein Jugendlicher, der das 18. Altersjahr erreicht hat, in eine Strafanstalt versetzt werden, wenn er sich während des Aufenthaltes in einer Erziehungsanstalt als unverbesserlich erwiesen hat oder wenn sein Verhalten eine Gefahr für die Erziehung der übrigen Zöglinge bedeutet. Die Versetzung in die Strafanstalt ist nicht Strafe. Sie bleibt Massnahme mit der Sonderheit, dass die Anstaltsversorgung mit den Mitteln der strafanstaltlichen Disziplin weitergeführt wird. Bei der Schwere des Eingriffs dürfen freilich die Voraussetzungen des Art. 93 Abs. 2 StGB nicht leicht als erfüllt angenommen werden. So kann der Jugendliche als unverbesserlich erst gelten, wenn die bisherigen erzieherischen Massnahmen beweisen, dass er schlechthin unbeeinflussbar ist ( BGE 85 IV 16 ). Gemeint ist damit, wie schon der Hinweis auf die bisherigen erzieherischen Massnahmen zeigt, dass die ordentlichen, in Art. 91 StGB erwähnten Erziehungsmittel keinen Erfolg mehr versprechen. Nicht nötig ist, dass der Jugendliche überhaupt unbeeinflussbar sei. Als unverbesserlich darf auch angesehen werden, wer trotz strenger Aufsicht wiederholt aus der Anstalt entweicht, so dass die Einweisung, weil zur Zeit geschlossene Erziehungsanstalten fehlen, sich als aussichtslos erweist ( BGE 91 IV 180 ). Insbesondere soll der Jugendliche nicht durch Entweichungen oder sonstiges schlechtes Verhalten die Aufhebung der an sich erforderlichen Anstaltserziehung erzwingen können ( BGE 96 IV 15 Erw. 3). Die Vorinstanz nimmt an, die am 14. Juli 1972 gestützt auf Art. 91 Ziff. 1 StGB angeordnete Einweisung in eine Erziehungsanstalt habe sich als unwirksam erwiesen. In dieser Beurteilung der Lage geht sie mit den Parteien und dem Gutachter einig. Dieser schliesst aus dem Misserfolg der bisherigen Heim- und Anstaltsaufenthalte, die nahezu 16 Jahre gedauert haben, ferner aus der besonders schwierigen Charakterstruktur und der kräftigen körperlichen Entwicklung des Beschwerdeführers, dass weitere erzieherische Massnahmen nach Art. 91 Ziff. 1 BGE 99 IV 135 S. 139 StGB in einem Erziehungsheim der Altersklasse von 13-22 Jahren keinen Sinn mehr hätten und dass der Beschwerdeführer insofern als nicht erziehbar zu gelten habe. Abgesehen davon, dass nach Auffassung des Gutachters das Ziel der Erziehung beim Beschwerdeführer in einem Erziehungsheim nicht erreicht werden kann, ist auch, wie die Stellungnahme der Anstalt Aarburg zeigt, damit zu rechnen, dass nach den bisherigen vergeblichen Bemühungen auch kein Erziehungsheim bereit wäre, den Beschwerdeführer wieder aufzunehmen. Zudem äusserte sich X. selber dem Gutachter gegenüber, er werde sich einer Einweisung in eine Erziehungs- oder Arbeitsanstalt energisch widersetzen, er könne versichern, man werde ihn dort nicht lange halten. Mit Rücksicht auf seine zweimalige Flucht aus der Erziehungsanstalt Aarburg und seine früheren Entweichungen sowie im Hinblick auf seine Neigung zur Gewalttätigkeit brauchte die Vorinstanz diese Erklärungen nicht als leere Drohungen anzusehen. Ohne Ermessensüberschreitung durfte sie, der Jugendanwaltschaft folgend, daraus den Schluss ziehen, die Anstaltserziehung sei deshalb mit den Mitteln der strafanstaltlichen Disziplin fortzusetzen. Auch wenn der Beschwerdeführer weder als gemeingefährlich bezeichnet werden kann, noch seine Vergehen als besonders schwer zu bezeichnen sind, erweist sich die Versetzung in eine Strafanstalt nach geltendem Recht und beim heutigen Stand der Anstalten als die richtige oder doch vertretbare Behandlung. Den medizinischen und psychotherapeutischen Bedürfnissen, zu denen im Gutachten Stellung genommen wird, kann auch in der Strafanstalt Rechnung getragen werden. Die Einweisung in eine Strafanstalt hält daher, auch wenn sie nicht dem Vorschlag des Gutachters entspricht, vor dem Gesetz stand. Wenn die revidierten Art. 93bis und 93ter in Kraft gesetzt werden, hat die vollziehende Behörde die Einweisung in die Strafanstalt aufzuheben und eine der dort vorgesehenen Vollzugsmethoden anzuordnen, sofern die zuständige Stelle die Massnahme nicht schon früher oder aus andern Gründen abändern oder aufheben kann.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